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bCs/>
          <w:sz w:val="24"/>
        </w:rPr>
      </w:pPr>
      <w:r>
        <w:rPr>
          <w:rFonts w:hint="eastAsia" w:ascii="宋体" w:hAnsi="宋体" w:eastAsia="宋体"/>
          <w:b/>
          <w:bCs/>
          <w:sz w:val="24"/>
        </w:rPr>
        <w:t>附件3：</w:t>
      </w:r>
    </w:p>
    <w:p>
      <w:pPr>
        <w:spacing w:after="120" w:afterLines="50"/>
        <w:jc w:val="center"/>
        <w:rPr>
          <w:rFonts w:ascii="楷体" w:hAnsi="楷体" w:eastAsia="楷体" w:cstheme="majorEastAsia"/>
          <w:b/>
          <w:bCs/>
          <w:sz w:val="32"/>
          <w:szCs w:val="40"/>
        </w:rPr>
      </w:pPr>
      <w:r>
        <w:rPr>
          <w:rFonts w:hint="eastAsia" w:ascii="楷体" w:hAnsi="楷体" w:eastAsia="楷体" w:cstheme="majorEastAsia"/>
          <w:b/>
          <w:bCs/>
          <w:sz w:val="32"/>
          <w:szCs w:val="40"/>
        </w:rPr>
        <w:t>2</w:t>
      </w:r>
      <w:r>
        <w:rPr>
          <w:rFonts w:ascii="楷体" w:hAnsi="楷体" w:eastAsia="楷体" w:cstheme="majorEastAsia"/>
          <w:b/>
          <w:bCs/>
          <w:sz w:val="32"/>
          <w:szCs w:val="40"/>
        </w:rPr>
        <w:t>020</w:t>
      </w:r>
      <w:r>
        <w:rPr>
          <w:rFonts w:hint="eastAsia" w:ascii="楷体" w:hAnsi="楷体" w:eastAsia="楷体" w:cstheme="majorEastAsia"/>
          <w:b/>
          <w:bCs/>
          <w:sz w:val="32"/>
          <w:szCs w:val="40"/>
        </w:rPr>
        <w:t>级长空创新班学术导师制个性化专业培养计划</w:t>
      </w: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0"/>
        <w:gridCol w:w="1707"/>
        <w:gridCol w:w="1412"/>
        <w:gridCol w:w="184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姓名</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学号</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性别</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班级</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联系电话</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邮箱</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主修专业/学院</w:t>
            </w:r>
          </w:p>
        </w:tc>
        <w:tc>
          <w:tcPr>
            <w:tcW w:w="8505" w:type="dxa"/>
            <w:gridSpan w:val="5"/>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导师</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职称</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联系电话</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导师邮箱</w:t>
            </w:r>
          </w:p>
        </w:tc>
        <w:tc>
          <w:tcPr>
            <w:tcW w:w="2977" w:type="dxa"/>
            <w:gridSpan w:val="2"/>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r>
              <w:rPr>
                <w:rFonts w:hint="eastAsia" w:ascii="楷体" w:hAnsi="楷体" w:eastAsia="楷体"/>
                <w:b/>
                <w:bCs/>
                <w:kern w:val="0"/>
                <w:sz w:val="24"/>
              </w:rPr>
              <w:t>学院</w:t>
            </w:r>
          </w:p>
        </w:tc>
        <w:tc>
          <w:tcPr>
            <w:tcW w:w="4116" w:type="dxa"/>
            <w:gridSpan w:val="2"/>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60" w:type="dxa"/>
            <w:vMerge w:val="restart"/>
            <w:vAlign w:val="center"/>
          </w:tcPr>
          <w:p>
            <w:pPr>
              <w:jc w:val="center"/>
              <w:rPr>
                <w:rFonts w:ascii="楷体" w:hAnsi="楷体" w:eastAsia="楷体"/>
                <w:b/>
                <w:bCs/>
                <w:kern w:val="0"/>
                <w:sz w:val="24"/>
              </w:rPr>
            </w:pPr>
            <w:r>
              <w:rPr>
                <w:rFonts w:hint="eastAsia" w:ascii="楷体" w:hAnsi="楷体" w:eastAsia="楷体"/>
                <w:b/>
                <w:bCs/>
                <w:kern w:val="0"/>
                <w:sz w:val="24"/>
              </w:rPr>
              <w:t>合计：</w:t>
            </w:r>
          </w:p>
          <w:p>
            <w:pPr>
              <w:jc w:val="center"/>
              <w:rPr>
                <w:rFonts w:ascii="楷体" w:hAnsi="楷体" w:eastAsia="楷体"/>
                <w:b/>
                <w:bCs/>
                <w:kern w:val="0"/>
                <w:sz w:val="24"/>
              </w:rPr>
            </w:pPr>
          </w:p>
          <w:p>
            <w:pPr>
              <w:jc w:val="right"/>
              <w:rPr>
                <w:rFonts w:ascii="楷体" w:hAnsi="楷体" w:eastAsia="楷体"/>
                <w:b/>
                <w:bCs/>
                <w:kern w:val="0"/>
                <w:sz w:val="24"/>
              </w:rPr>
            </w:pP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rPr>
              <w:t>学分</w:t>
            </w: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专业基础与专业核心课程（合计</w:t>
            </w:r>
            <w:r>
              <w:rPr>
                <w:rFonts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导师推荐及自主修读课程 （合计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vAlign w:val="center"/>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vAlign w:val="center"/>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vAlign w:val="center"/>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vAlign w:val="center"/>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vAlign w:val="center"/>
          </w:tcPr>
          <w:p>
            <w:pPr>
              <w:jc w:val="center"/>
              <w:rPr>
                <w:rFonts w:ascii="楷体" w:hAnsi="楷体" w:eastAsia="楷体"/>
                <w:b/>
                <w:bCs/>
                <w:kern w:val="0"/>
                <w:sz w:val="24"/>
              </w:rPr>
            </w:pPr>
            <w:r>
              <w:rPr>
                <w:rFonts w:hint="eastAsia" w:ascii="楷体" w:hAnsi="楷体" w:eastAsia="楷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学科交叉修读课程（合计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实践环节（合计</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vAlign w:val="center"/>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vAlign w:val="center"/>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vAlign w:val="center"/>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vAlign w:val="center"/>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vAlign w:val="center"/>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spacing w:line="360" w:lineRule="auto"/>
              <w:jc w:val="left"/>
              <w:rPr>
                <w:rFonts w:ascii="楷体" w:hAnsi="楷体" w:eastAsia="楷体"/>
                <w:b/>
                <w:bCs/>
                <w:kern w:val="0"/>
                <w:sz w:val="24"/>
              </w:rPr>
            </w:pPr>
            <w:r>
              <w:rPr>
                <w:rFonts w:hint="eastAsia" w:ascii="楷体" w:hAnsi="楷体" w:eastAsia="楷体"/>
                <w:b/>
                <w:bCs/>
                <w:kern w:val="0"/>
                <w:sz w:val="24"/>
              </w:rPr>
              <w:t>创新实践柔性替代学分模块规划(勾选，至少完成三项</w:t>
            </w:r>
            <w:r>
              <w:rPr>
                <w:rFonts w:ascii="楷体" w:hAnsi="楷体" w:eastAsia="楷体"/>
                <w:b/>
                <w:bCs/>
                <w:kern w:val="0"/>
                <w:sz w:val="24"/>
              </w:rPr>
              <w:t>)</w:t>
            </w:r>
            <w:r>
              <w:rPr>
                <w:rFonts w:hint="eastAsia" w:ascii="楷体" w:hAnsi="楷体" w:eastAsia="楷体"/>
                <w:b/>
                <w:bCs/>
                <w:kern w:val="0"/>
                <w:sz w:val="24"/>
              </w:rPr>
              <w:t>：（附页说明相关规划）</w:t>
            </w:r>
          </w:p>
          <w:p>
            <w:pPr>
              <w:spacing w:line="360" w:lineRule="auto"/>
              <w:jc w:val="left"/>
              <w:rPr>
                <w:rFonts w:ascii="楷体" w:hAnsi="楷体" w:eastAsia="楷体"/>
                <w:b/>
                <w:bCs/>
                <w:kern w:val="0"/>
                <w:sz w:val="24"/>
              </w:rPr>
            </w:pP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创新实践工程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国际研修课程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学科竞赛活动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学术研究成果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b/>
                <w:bCs/>
                <w:kern w:val="0"/>
                <w:sz w:val="24"/>
              </w:rPr>
              <w:t>科研能力训练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jc w:val="left"/>
              <w:rPr>
                <w:rFonts w:ascii="楷体" w:hAnsi="楷体" w:eastAsia="楷体"/>
                <w:b/>
                <w:bCs/>
                <w:kern w:val="0"/>
                <w:sz w:val="24"/>
              </w:rPr>
            </w:pPr>
            <w:r>
              <w:rPr>
                <w:rFonts w:hint="eastAsia" w:ascii="楷体" w:hAnsi="楷体" w:eastAsia="楷体"/>
                <w:b/>
                <w:bCs/>
                <w:kern w:val="0"/>
                <w:sz w:val="24"/>
              </w:rPr>
              <w:t>高年级（大三、大四）本硕博贯通提前修读课程（研究生课程）（选填）：</w:t>
            </w:r>
          </w:p>
          <w:p>
            <w:pPr>
              <w:jc w:val="left"/>
              <w:rPr>
                <w:rFonts w:ascii="楷体" w:hAnsi="楷体" w:eastAsia="楷体"/>
                <w:b/>
                <w:bCs/>
                <w:kern w:val="0"/>
                <w:sz w:val="24"/>
              </w:rPr>
            </w:pPr>
          </w:p>
          <w:p>
            <w:pPr>
              <w:wordWrap w:val="0"/>
              <w:jc w:val="right"/>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ind w:right="1205"/>
              <w:jc w:val="left"/>
              <w:rPr>
                <w:rFonts w:ascii="楷体" w:hAnsi="楷体" w:eastAsia="楷体"/>
                <w:b/>
                <w:bCs/>
                <w:kern w:val="0"/>
                <w:sz w:val="24"/>
              </w:rPr>
            </w:pPr>
            <w:r>
              <w:rPr>
                <w:rFonts w:hint="eastAsia" w:ascii="楷体" w:hAnsi="楷体" w:eastAsia="楷体"/>
                <w:b/>
                <w:bCs/>
                <w:kern w:val="0"/>
                <w:sz w:val="24"/>
              </w:rPr>
              <w:t>培养计划确认：</w:t>
            </w:r>
          </w:p>
          <w:p>
            <w:pPr>
              <w:wordWrap w:val="0"/>
              <w:ind w:right="2410"/>
              <w:jc w:val="center"/>
              <w:rPr>
                <w:rFonts w:ascii="楷体" w:hAnsi="楷体" w:eastAsia="楷体"/>
                <w:b/>
                <w:bCs/>
                <w:kern w:val="0"/>
                <w:sz w:val="24"/>
              </w:rPr>
            </w:pPr>
            <w:r>
              <w:rPr>
                <w:rFonts w:hint="eastAsia" w:ascii="楷体" w:hAnsi="楷体" w:eastAsia="楷体"/>
                <w:b/>
                <w:bCs/>
                <w:kern w:val="0"/>
                <w:sz w:val="24"/>
              </w:rPr>
              <w:t xml:space="preserve"> </w:t>
            </w:r>
            <w:r>
              <w:rPr>
                <w:rFonts w:ascii="楷体" w:hAnsi="楷体" w:eastAsia="楷体"/>
                <w:b/>
                <w:bCs/>
                <w:kern w:val="0"/>
                <w:sz w:val="24"/>
              </w:rPr>
              <w:t xml:space="preserve">                      </w:t>
            </w:r>
            <w:r>
              <w:rPr>
                <w:rFonts w:hint="eastAsia" w:ascii="楷体" w:hAnsi="楷体" w:eastAsia="楷体"/>
                <w:b/>
                <w:bCs/>
                <w:kern w:val="0"/>
                <w:sz w:val="24"/>
              </w:rPr>
              <w:t xml:space="preserve">学生签字： </w:t>
            </w:r>
            <w:r>
              <w:rPr>
                <w:rFonts w:ascii="楷体" w:hAnsi="楷体" w:eastAsia="楷体"/>
                <w:b/>
                <w:bCs/>
                <w:kern w:val="0"/>
                <w:sz w:val="24"/>
              </w:rPr>
              <w:t xml:space="preserve">               </w:t>
            </w:r>
            <w:r>
              <w:rPr>
                <w:rFonts w:hint="eastAsia" w:ascii="楷体" w:hAnsi="楷体" w:eastAsia="楷体"/>
                <w:b/>
                <w:bCs/>
                <w:kern w:val="0"/>
                <w:sz w:val="24"/>
              </w:rPr>
              <w:t xml:space="preserve">日期： </w:t>
            </w:r>
            <w:r>
              <w:rPr>
                <w:rFonts w:ascii="楷体" w:hAnsi="楷体" w:eastAsia="楷体"/>
                <w:b/>
                <w:bCs/>
                <w:kern w:val="0"/>
                <w:sz w:val="24"/>
              </w:rPr>
              <w:t xml:space="preserve">                      </w:t>
            </w:r>
            <w:r>
              <w:rPr>
                <w:rFonts w:hint="eastAsia" w:ascii="楷体" w:hAnsi="楷体" w:eastAsia="楷体"/>
                <w:b/>
                <w:bCs/>
                <w:kern w:val="0"/>
                <w:sz w:val="24"/>
              </w:rPr>
              <w:t xml:space="preserve">导师签字： </w:t>
            </w:r>
            <w:r>
              <w:rPr>
                <w:rFonts w:ascii="楷体" w:hAnsi="楷体" w:eastAsia="楷体"/>
                <w:b/>
                <w:bCs/>
                <w:kern w:val="0"/>
                <w:sz w:val="24"/>
              </w:rPr>
              <w:t xml:space="preserve">               </w:t>
            </w:r>
            <w:r>
              <w:rPr>
                <w:rFonts w:hint="eastAsia" w:ascii="楷体" w:hAnsi="楷体" w:eastAsia="楷体"/>
                <w:b/>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jc w:val="left"/>
              <w:rPr>
                <w:rFonts w:ascii="楷体" w:hAnsi="楷体" w:eastAsia="楷体"/>
                <w:b/>
                <w:bCs/>
                <w:kern w:val="0"/>
                <w:sz w:val="24"/>
              </w:rPr>
            </w:pPr>
            <w:r>
              <w:rPr>
                <w:rFonts w:hint="eastAsia" w:ascii="楷体" w:hAnsi="楷体" w:eastAsia="楷体"/>
                <w:b/>
                <w:bCs/>
                <w:kern w:val="0"/>
                <w:sz w:val="24"/>
              </w:rPr>
              <w:t>长空学院审核：</w:t>
            </w:r>
          </w:p>
          <w:p>
            <w:pPr>
              <w:jc w:val="right"/>
              <w:rPr>
                <w:rFonts w:ascii="楷体" w:hAnsi="楷体" w:eastAsia="楷体"/>
                <w:b/>
                <w:bCs/>
                <w:kern w:val="0"/>
                <w:sz w:val="24"/>
              </w:rPr>
            </w:pPr>
          </w:p>
          <w:p>
            <w:pPr>
              <w:ind w:right="1928"/>
              <w:jc w:val="right"/>
              <w:rPr>
                <w:rFonts w:ascii="楷体" w:hAnsi="楷体" w:eastAsia="楷体"/>
                <w:b/>
                <w:bCs/>
                <w:kern w:val="0"/>
                <w:sz w:val="24"/>
              </w:rPr>
            </w:pPr>
            <w:r>
              <w:rPr>
                <w:rFonts w:hint="eastAsia" w:ascii="楷体" w:hAnsi="楷体" w:eastAsia="楷体"/>
                <w:b/>
                <w:bCs/>
                <w:kern w:val="0"/>
                <w:sz w:val="24"/>
              </w:rPr>
              <w:t>签字（盖章）：</w:t>
            </w:r>
          </w:p>
          <w:p>
            <w:pPr>
              <w:jc w:val="right"/>
              <w:rPr>
                <w:rFonts w:ascii="楷体" w:hAnsi="楷体" w:eastAsia="楷体"/>
                <w:b/>
                <w:bCs/>
                <w:kern w:val="0"/>
                <w:sz w:val="24"/>
              </w:rPr>
            </w:pPr>
          </w:p>
        </w:tc>
      </w:tr>
    </w:tbl>
    <w:p>
      <w:pPr>
        <w:widowControl/>
        <w:jc w:val="left"/>
        <w:rPr>
          <w:rFonts w:hint="eastAsia" w:ascii="楷体" w:hAnsi="楷体" w:eastAsia="楷体"/>
          <w:b/>
          <w:bCs/>
          <w:kern w:val="0"/>
          <w:sz w:val="24"/>
        </w:rPr>
      </w:pPr>
      <w:r>
        <w:rPr>
          <w:rFonts w:hint="eastAsia" w:ascii="楷体" w:hAnsi="楷体" w:eastAsia="楷体"/>
          <w:b/>
          <w:bCs/>
          <w:kern w:val="0"/>
          <w:sz w:val="24"/>
        </w:rPr>
        <w:t>*该表格一式三份，由长空学院、学术导师、学生各自留存。</w:t>
      </w:r>
    </w:p>
    <w:p>
      <w:pPr>
        <w:widowControl/>
        <w:jc w:val="left"/>
        <w:rPr>
          <w:rFonts w:hint="eastAsia" w:ascii="楷体" w:hAnsi="楷体" w:eastAsia="楷体"/>
          <w:b/>
          <w:bCs/>
          <w:kern w:val="0"/>
          <w:sz w:val="24"/>
        </w:rPr>
      </w:pPr>
    </w:p>
    <w:p>
      <w:pPr>
        <w:spacing w:after="120" w:afterLines="50"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长空创新班学术导师制个性化专业培养计划</w:t>
      </w:r>
    </w:p>
    <w:p>
      <w:pPr>
        <w:spacing w:after="120" w:afterLines="50" w:line="360" w:lineRule="auto"/>
        <w:ind w:firstLine="643" w:firstLineChars="200"/>
        <w:jc w:val="center"/>
        <w:rPr>
          <w:rFonts w:ascii="黑体" w:hAnsi="黑体" w:eastAsia="黑体" w:cs="黑体"/>
          <w:b/>
          <w:bCs/>
          <w:kern w:val="0"/>
          <w:sz w:val="32"/>
          <w:szCs w:val="32"/>
        </w:rPr>
      </w:pPr>
      <w:r>
        <w:rPr>
          <w:rFonts w:hint="eastAsia" w:ascii="黑体" w:hAnsi="黑体" w:eastAsia="黑体" w:cs="黑体"/>
          <w:b/>
          <w:bCs/>
          <w:sz w:val="32"/>
          <w:szCs w:val="32"/>
        </w:rPr>
        <w:t>填表说明</w:t>
      </w:r>
    </w:p>
    <w:p>
      <w:pPr>
        <w:numPr>
          <w:ilvl w:val="255"/>
          <w:numId w:val="0"/>
        </w:num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为更好推进2020级长空创新班导师制个性化专业培养计划的制定，进一步增强师生对于长空创新班培养模式的认知与理解，现将长空创新班人才培养特色及培养计划修读办法与要求做如下说明：</w:t>
      </w:r>
    </w:p>
    <w:p>
      <w:pPr>
        <w:numPr>
          <w:ilvl w:val="255"/>
          <w:numId w:val="0"/>
        </w:num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长空创新班采用通识教育和个性化专业教育相结合的四年一贯制培养模式，通过实行导师制、完全学分制，配套“特别培养”和“特别支持政策”，对学生贯彻“100%理工专业任选、100%本硕博连读资格、100%双导师个性化培养、100%国际化交流资助、100%全体系科研学术训练”的五个“百分百”思路，积极实施个性化、自主化、国际化、精英化的“四化”培养。2</w:t>
      </w:r>
      <w:r>
        <w:rPr>
          <w:rFonts w:ascii="宋体" w:hAnsi="宋体" w:eastAsia="宋体" w:cs="宋体"/>
          <w:kern w:val="0"/>
          <w:sz w:val="24"/>
          <w:szCs w:val="24"/>
        </w:rPr>
        <w:t>022</w:t>
      </w:r>
      <w:r>
        <w:rPr>
          <w:rFonts w:hint="eastAsia" w:ascii="宋体" w:hAnsi="宋体" w:eastAsia="宋体" w:cs="宋体"/>
          <w:kern w:val="0"/>
          <w:sz w:val="24"/>
          <w:szCs w:val="24"/>
        </w:rPr>
        <w:t>级长空创新班总学分要求在1</w:t>
      </w:r>
      <w:r>
        <w:rPr>
          <w:rFonts w:ascii="宋体" w:hAnsi="宋体" w:eastAsia="宋体" w:cs="宋体"/>
          <w:kern w:val="0"/>
          <w:sz w:val="24"/>
          <w:szCs w:val="24"/>
        </w:rPr>
        <w:t>60</w:t>
      </w:r>
      <w:r>
        <w:rPr>
          <w:rFonts w:hint="eastAsia" w:ascii="宋体" w:hAnsi="宋体" w:eastAsia="宋体" w:cs="宋体"/>
          <w:kern w:val="0"/>
          <w:sz w:val="24"/>
          <w:szCs w:val="24"/>
        </w:rPr>
        <w:t>学分以内，具体平台学分模块最低学分要求请登录教务处系统查询。</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1、个性化：</w:t>
      </w:r>
      <w:r>
        <w:rPr>
          <w:rFonts w:hint="eastAsia" w:ascii="宋体" w:hAnsi="宋体" w:eastAsia="宋体" w:cs="宋体"/>
          <w:kern w:val="0"/>
          <w:sz w:val="24"/>
          <w:szCs w:val="24"/>
        </w:rPr>
        <w:t>一年级夯实数理及计算机基础，二年级结合学生兴趣爱好及未来职业规划，选择全校任一理工专业修读。并且打破传统专业培养方案的限制，学生除主修专业外，可跨专业选择其他专业的课程个性化修读。</w:t>
      </w:r>
    </w:p>
    <w:p>
      <w:pPr>
        <w:numPr>
          <w:ilvl w:val="255"/>
          <w:numId w:val="0"/>
        </w:num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（1）培养方案中专业教育平台大二课程设置了个性化通道（学分数要求：2</w:t>
      </w:r>
      <w:r>
        <w:rPr>
          <w:rFonts w:ascii="宋体" w:hAnsi="宋体" w:eastAsia="宋体" w:cs="宋体"/>
          <w:kern w:val="0"/>
          <w:sz w:val="24"/>
          <w:szCs w:val="24"/>
        </w:rPr>
        <w:t>2</w:t>
      </w:r>
      <w:r>
        <w:rPr>
          <w:rFonts w:hint="eastAsia" w:ascii="宋体" w:hAnsi="宋体" w:eastAsia="宋体" w:cs="宋体"/>
          <w:kern w:val="0"/>
          <w:sz w:val="24"/>
          <w:szCs w:val="24"/>
        </w:rPr>
        <w:t>），主要为大机类和大电类学科基础课程，对于选择其他理工科专业的学生，个性化通道学分数要求不变，与相关专业学院教学院长协商制定个性化通道相关课程培养方案；</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（2）培养方案内设置有学科交叉修读课程模块，除创新班统一开设的学科交叉课程外，可依据个人兴趣或导师推荐修读非主修专业的相关课程（最低学分要求：4学分）</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2、自主化：</w:t>
      </w:r>
      <w:r>
        <w:rPr>
          <w:rFonts w:hint="eastAsia" w:ascii="宋体" w:hAnsi="宋体" w:eastAsia="宋体" w:cs="宋体"/>
          <w:kern w:val="0"/>
          <w:sz w:val="24"/>
          <w:szCs w:val="24"/>
        </w:rPr>
        <w:t>学生确定主修专业后，依托导师制和完全学分制，学生与导师共同制定大三大四的课程修读计划、选择修读课程，实现自主化培养，具体体现在培养方案中的专业基础与专业核心课程模块、专业方向或本硕贯通课程模块：</w:t>
      </w:r>
    </w:p>
    <w:p>
      <w:pPr>
        <w:numPr>
          <w:ilvl w:val="0"/>
          <w:numId w:val="1"/>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专业基础与专业核心课程模块：</w:t>
      </w:r>
      <w:r>
        <w:rPr>
          <w:rFonts w:hint="eastAsia" w:ascii="宋体" w:hAnsi="宋体" w:eastAsia="宋体" w:cs="宋体"/>
          <w:kern w:val="0"/>
          <w:sz w:val="24"/>
          <w:szCs w:val="24"/>
        </w:rPr>
        <w:t>取得主修专业“核心课程列表”的所有课程学分是以主修专业毕业的必要条件。师生在制定本模块修读计划时，须参照各主修专业培养方案，包含主修专业所有核心课程，最低学分要求为15学分。专业核心课程合计不满15学分的，可用所在主修专业非核心课程的专业必修课程学分进行补充。</w:t>
      </w:r>
    </w:p>
    <w:p>
      <w:pPr>
        <w:numPr>
          <w:ilvl w:val="0"/>
          <w:numId w:val="1"/>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专业方向或本硕贯通课程模块</w:t>
      </w:r>
      <w:r>
        <w:rPr>
          <w:rFonts w:hint="eastAsia" w:ascii="宋体" w:hAnsi="宋体" w:eastAsia="宋体" w:cs="宋体"/>
          <w:kern w:val="0"/>
          <w:sz w:val="24"/>
          <w:szCs w:val="24"/>
        </w:rPr>
        <w:t>：经由导师推荐并结合个人兴趣，修读支撑学院发展的相关课程。此外，有意向于本校继续攻读研究生的，可提前修读硕博阶段课程。制定本模块修读计划时需注意：①最低学分要求为1</w:t>
      </w:r>
      <w:r>
        <w:rPr>
          <w:rFonts w:ascii="宋体" w:hAnsi="宋体" w:eastAsia="宋体" w:cs="宋体"/>
          <w:kern w:val="0"/>
          <w:sz w:val="24"/>
          <w:szCs w:val="24"/>
        </w:rPr>
        <w:t>5</w:t>
      </w:r>
      <w:r>
        <w:rPr>
          <w:rFonts w:hint="eastAsia" w:ascii="宋体" w:hAnsi="宋体" w:eastAsia="宋体" w:cs="宋体"/>
          <w:kern w:val="0"/>
          <w:sz w:val="24"/>
          <w:szCs w:val="24"/>
        </w:rPr>
        <w:t>学分；②可根据实际修读需要，自主选定课程性质（必修/选修），灵活选择修读学期（单数/双数学期）；③鉴于部分主修专业选修课程存在停开、修改开课学期等情况，建议修读计划中所列课程学分数大于最低学分要求</w:t>
      </w:r>
      <w:r>
        <w:rPr>
          <w:rFonts w:ascii="宋体" w:hAnsi="宋体" w:eastAsia="宋体" w:cs="宋体"/>
          <w:kern w:val="0"/>
          <w:sz w:val="24"/>
          <w:szCs w:val="24"/>
        </w:rPr>
        <w:t>15</w:t>
      </w:r>
      <w:r>
        <w:rPr>
          <w:rFonts w:hint="eastAsia" w:ascii="宋体" w:hAnsi="宋体" w:eastAsia="宋体" w:cs="宋体"/>
          <w:kern w:val="0"/>
          <w:sz w:val="24"/>
          <w:szCs w:val="24"/>
        </w:rPr>
        <w:t>学分，以免出现所修学分达不到毕业条件等问题。</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3、国际化：</w:t>
      </w:r>
      <w:r>
        <w:rPr>
          <w:rFonts w:hint="eastAsia" w:ascii="宋体" w:hAnsi="宋体" w:eastAsia="宋体" w:cs="宋体"/>
          <w:kern w:val="0"/>
          <w:sz w:val="24"/>
          <w:szCs w:val="24"/>
        </w:rPr>
        <w:t>培养方案内设置全英文和双语课程、实施国际研修小学期计划（可进行实践选修柔性学分替代），提升跨文化学习体验，拓展国际视野，培养具有跨文化交流合作研究的能力。</w:t>
      </w:r>
    </w:p>
    <w:p>
      <w:pPr>
        <w:numPr>
          <w:ilvl w:val="255"/>
          <w:numId w:val="0"/>
        </w:num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4、精英化：</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（1）荣誉课程：</w:t>
      </w:r>
      <w:r>
        <w:rPr>
          <w:rFonts w:hint="eastAsia" w:ascii="宋体" w:hAnsi="宋体" w:eastAsia="宋体" w:cs="宋体"/>
          <w:kern w:val="0"/>
          <w:sz w:val="24"/>
          <w:szCs w:val="24"/>
        </w:rPr>
        <w:t>设置高水平、高质量、高要求的荣誉课程，以“精品内容、精准施教、精确指导、多元考核”为出发点，加强通识教育和博雅教育，注重数理逻辑思维能力、批判性思维能力和学术思维能力培养。</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（2）研读并重：在</w:t>
      </w:r>
      <w:r>
        <w:rPr>
          <w:rFonts w:hint="eastAsia" w:ascii="宋体" w:hAnsi="宋体" w:eastAsia="宋体" w:cs="宋体"/>
          <w:kern w:val="0"/>
          <w:sz w:val="24"/>
          <w:szCs w:val="24"/>
        </w:rPr>
        <w:t>实践能力培养平台专设有“创新实践柔性替代学分模块”，鼓励学生除了课堂课程以外，以科创竞赛获奖、国际交流、高水平研究成果产出为目标，积极开展科研实践活动，从而实现学生的全程贯通式实践能力和创新能力培养。相关要求如下：</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创新实践柔性替代学分模块下设《学科竞赛活动》、《学术研究成果》、《科研能力训练》、《创新实践工程》、《国际研修课程》五类课程模块，采取学分认定的方式，具体认定原则见《</w:t>
      </w:r>
      <w:r>
        <w:rPr>
          <w:rFonts w:ascii="宋体" w:hAnsi="宋体" w:eastAsia="宋体" w:cs="宋体"/>
          <w:kern w:val="0"/>
          <w:sz w:val="24"/>
          <w:szCs w:val="24"/>
        </w:rPr>
        <w:t>“长空创新班”实践选修模块学分认定办法（试行）</w:t>
      </w:r>
      <w:r>
        <w:rPr>
          <w:rFonts w:hint="eastAsia" w:ascii="宋体" w:hAnsi="宋体" w:eastAsia="宋体" w:cs="宋体"/>
          <w:kern w:val="0"/>
          <w:sz w:val="24"/>
          <w:szCs w:val="24"/>
        </w:rPr>
        <w:t>》。</w:t>
      </w:r>
      <w:r>
        <w:rPr>
          <w:rFonts w:ascii="宋体" w:hAnsi="宋体" w:eastAsia="宋体" w:cs="宋体"/>
          <w:kern w:val="0"/>
          <w:sz w:val="24"/>
          <w:szCs w:val="24"/>
        </w:rPr>
        <w:t>学生</w:t>
      </w:r>
      <w:r>
        <w:rPr>
          <w:rFonts w:hint="eastAsia" w:ascii="宋体" w:hAnsi="宋体" w:eastAsia="宋体" w:cs="宋体"/>
          <w:kern w:val="0"/>
          <w:sz w:val="24"/>
          <w:szCs w:val="24"/>
        </w:rPr>
        <w:t>须</w:t>
      </w:r>
      <w:r>
        <w:rPr>
          <w:rFonts w:ascii="宋体" w:hAnsi="宋体" w:eastAsia="宋体" w:cs="宋体"/>
          <w:kern w:val="0"/>
          <w:sz w:val="24"/>
          <w:szCs w:val="24"/>
        </w:rPr>
        <w:t>完成五类课程模块中至少三类不同模块，</w:t>
      </w:r>
      <w:r>
        <w:rPr>
          <w:rFonts w:hint="eastAsia" w:ascii="宋体" w:hAnsi="宋体" w:eastAsia="宋体" w:cs="宋体"/>
          <w:kern w:val="0"/>
          <w:sz w:val="24"/>
          <w:szCs w:val="24"/>
        </w:rPr>
        <w:t>最低学分要求为6学分。学生可于个人修读计划中提前进行本模块的规划，详情可另行附页。</w:t>
      </w:r>
    </w:p>
    <w:p>
      <w:pPr>
        <w:numPr>
          <w:ilvl w:val="255"/>
          <w:numId w:val="0"/>
        </w:numPr>
        <w:spacing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（3）本研贯通：</w:t>
      </w:r>
      <w:r>
        <w:rPr>
          <w:rFonts w:hint="eastAsia" w:ascii="宋体" w:hAnsi="宋体" w:eastAsia="宋体" w:cs="宋体"/>
          <w:kern w:val="0"/>
          <w:sz w:val="24"/>
          <w:szCs w:val="24"/>
        </w:rPr>
        <w:t>学生在学术导师建议下，可在高年级修读硕士研究生或博士研究生阶段课程。学生若今后在本校进行硕/博培养，所修得学分学生可在硕/博阶段进行学分认定。</w:t>
      </w:r>
    </w:p>
    <w:p>
      <w:pPr>
        <w:pStyle w:val="2"/>
        <w:spacing w:beforeAutospacing="0" w:afterAutospacing="0" w:line="360" w:lineRule="auto"/>
        <w:contextualSpacing/>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4623435" cy="3731260"/>
            <wp:effectExtent l="0" t="0" r="5715" b="2540"/>
            <wp:docPr id="1" name="图片 1" descr="fea7f2b28967d4052ab22f06097d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a7f2b28967d4052ab22f06097db78"/>
                    <pic:cNvPicPr>
                      <a:picLocks noChangeAspect="1"/>
                    </pic:cNvPicPr>
                  </pic:nvPicPr>
                  <pic:blipFill>
                    <a:blip r:embed="rId4"/>
                    <a:stretch>
                      <a:fillRect/>
                    </a:stretch>
                  </pic:blipFill>
                  <pic:spPr>
                    <a:xfrm>
                      <a:off x="0" y="0"/>
                      <a:ext cx="4623435" cy="3731260"/>
                    </a:xfrm>
                    <a:prstGeom prst="rect">
                      <a:avLst/>
                    </a:prstGeom>
                  </pic:spPr>
                </pic:pic>
              </a:graphicData>
            </a:graphic>
          </wp:inline>
        </w:drawing>
      </w:r>
    </w:p>
    <w:p>
      <w:pPr>
        <w:numPr>
          <w:ilvl w:val="255"/>
          <w:numId w:val="0"/>
        </w:numPr>
        <w:spacing w:line="360" w:lineRule="auto"/>
        <w:ind w:firstLine="442" w:firstLineChars="200"/>
        <w:jc w:val="center"/>
        <w:rPr>
          <w:rFonts w:ascii="宋体" w:hAnsi="宋体" w:eastAsia="宋体" w:cs="宋体"/>
          <w:b/>
          <w:bCs/>
          <w:kern w:val="0"/>
          <w:sz w:val="22"/>
          <w:szCs w:val="22"/>
        </w:rPr>
      </w:pPr>
      <w:r>
        <w:rPr>
          <w:rFonts w:hint="eastAsia" w:ascii="宋体" w:hAnsi="宋体" w:eastAsia="宋体" w:cs="宋体"/>
          <w:b/>
          <w:bCs/>
          <w:kern w:val="0"/>
          <w:sz w:val="22"/>
          <w:szCs w:val="22"/>
        </w:rPr>
        <w:t>长空创新班“本研贯通制”培养体系框图</w:t>
      </w:r>
    </w:p>
    <w:p>
      <w:pPr>
        <w:numPr>
          <w:ilvl w:val="255"/>
          <w:numId w:val="0"/>
        </w:numPr>
        <w:spacing w:line="360" w:lineRule="auto"/>
        <w:ind w:firstLine="442" w:firstLineChars="200"/>
        <w:jc w:val="center"/>
        <w:rPr>
          <w:rFonts w:ascii="宋体" w:hAnsi="宋体" w:eastAsia="宋体" w:cs="宋体"/>
          <w:b/>
          <w:bCs/>
          <w:kern w:val="0"/>
          <w:sz w:val="22"/>
          <w:szCs w:val="22"/>
        </w:rPr>
      </w:pPr>
    </w:p>
    <w:p>
      <w:pPr>
        <w:widowControl/>
        <w:jc w:val="left"/>
        <w:rPr>
          <w:rFonts w:hint="eastAsia" w:ascii="楷体" w:hAnsi="楷体" w:eastAsia="楷体"/>
          <w:b/>
          <w:bCs/>
          <w:kern w:val="0"/>
          <w:sz w:val="22"/>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BE83A"/>
    <w:multiLevelType w:val="singleLevel"/>
    <w:tmpl w:val="E2BBE8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2A38"/>
    <w:rsid w:val="05DC2A38"/>
    <w:rsid w:val="4C79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2022-04-07T06:48:00Z</dcterms:created>
  <dc:creator>佐拉</dc:creator>
  <cp:lastModifiedBy>佐拉</cp:lastModifiedBy>
  <dcterms:modified xsi:type="dcterms:W3CDTF">2022-04-07T06:54:41Z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5D1AAA8D5E834A549A4819B324E9C738</vt:lpwstr>
  </property>
</Properties>
</file>